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44" w:rsidRDefault="00E03044" w:rsidP="00E03044">
      <w:pPr>
        <w:pStyle w:val="Titel"/>
        <w:rPr>
          <w:color w:val="97AC1E"/>
        </w:rPr>
      </w:pPr>
      <w:r w:rsidRPr="009F7544">
        <w:rPr>
          <w:noProof/>
          <w:color w:val="97AC1E"/>
        </w:rPr>
        <w:drawing>
          <wp:inline distT="0" distB="0" distL="0" distR="0" wp14:anchorId="2D9E6D4B" wp14:editId="31D3A153">
            <wp:extent cx="1638300" cy="951230"/>
            <wp:effectExtent l="0" t="0" r="0" b="1270"/>
            <wp:docPr id="2" name="Bildobjekt 2" descr="C:\Users\sanjan\Pictures\nackalogga_orange_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n\Pictures\nackalogga_orange_20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44" w:rsidRDefault="00E03044" w:rsidP="00E03044">
      <w:pPr>
        <w:pStyle w:val="Titel"/>
        <w:rPr>
          <w:color w:val="97AC1E"/>
        </w:rPr>
      </w:pPr>
    </w:p>
    <w:p w:rsidR="00E03044" w:rsidRDefault="00E03044" w:rsidP="00E03044">
      <w:pPr>
        <w:pStyle w:val="Titel"/>
        <w:rPr>
          <w:color w:val="97AC1E"/>
        </w:rPr>
      </w:pPr>
    </w:p>
    <w:p w:rsidR="00E03044" w:rsidRDefault="00E03044" w:rsidP="00E03044">
      <w:pPr>
        <w:pStyle w:val="Titel"/>
        <w:rPr>
          <w:color w:val="97AC1E"/>
        </w:rPr>
      </w:pPr>
    </w:p>
    <w:p w:rsidR="00E03044" w:rsidRPr="000D65A7" w:rsidRDefault="00E03044" w:rsidP="00E03044">
      <w:pPr>
        <w:pStyle w:val="Titel"/>
      </w:pPr>
      <w:bookmarkStart w:id="0" w:name="_GoBack"/>
      <w:r>
        <w:rPr>
          <w:color w:val="97AC1E"/>
        </w:rPr>
        <w:t>MANUAL utförare</w:t>
      </w:r>
    </w:p>
    <w:p w:rsidR="00E03044" w:rsidRDefault="006568B7" w:rsidP="00E03044">
      <w:pPr>
        <w:pStyle w:val="Titel2"/>
      </w:pPr>
      <w:r>
        <w:t>Hämta E</w:t>
      </w:r>
      <w:r w:rsidR="00E03044">
        <w:t>rsättningsunderlag från Pulsen combine</w:t>
      </w:r>
    </w:p>
    <w:p w:rsidR="00E03044" w:rsidRDefault="00E03044" w:rsidP="00E03044">
      <w:pPr>
        <w:rPr>
          <w:lang w:eastAsia="sv-SE"/>
        </w:rPr>
      </w:pPr>
    </w:p>
    <w:bookmarkEnd w:id="0"/>
    <w:p w:rsidR="00E03044" w:rsidRDefault="00E03044" w:rsidP="00E03044">
      <w:pPr>
        <w:rPr>
          <w:lang w:eastAsia="sv-SE"/>
        </w:rPr>
      </w:pPr>
    </w:p>
    <w:p w:rsidR="00E03044" w:rsidRDefault="00E03044" w:rsidP="00E03044">
      <w:pPr>
        <w:rPr>
          <w:lang w:eastAsia="sv-SE"/>
        </w:rPr>
      </w:pPr>
    </w:p>
    <w:p w:rsidR="00E03044" w:rsidRDefault="00E03044" w:rsidP="00E03044">
      <w:pPr>
        <w:rPr>
          <w:lang w:eastAsia="sv-SE"/>
        </w:rPr>
      </w:pPr>
    </w:p>
    <w:p w:rsidR="00E03044" w:rsidRDefault="00E03044" w:rsidP="00E03044">
      <w:pPr>
        <w:rPr>
          <w:lang w:eastAsia="sv-SE"/>
        </w:rPr>
      </w:pPr>
    </w:p>
    <w:p w:rsidR="00E03044" w:rsidRDefault="00E03044" w:rsidP="00E03044">
      <w:pPr>
        <w:rPr>
          <w:lang w:eastAsia="sv-SE"/>
        </w:rPr>
      </w:pPr>
    </w:p>
    <w:p w:rsidR="00E03044" w:rsidRDefault="00E03044" w:rsidP="00E03044">
      <w:pPr>
        <w:rPr>
          <w:lang w:eastAsia="sv-SE"/>
        </w:rPr>
      </w:pPr>
    </w:p>
    <w:p w:rsidR="00E03044" w:rsidRDefault="00E03044" w:rsidP="00E03044">
      <w:pPr>
        <w:rPr>
          <w:lang w:eastAsia="sv-SE"/>
        </w:rPr>
      </w:pPr>
    </w:p>
    <w:p w:rsidR="00E03044" w:rsidRDefault="00E03044" w:rsidP="00E03044">
      <w:pPr>
        <w:rPr>
          <w:lang w:eastAsia="sv-SE"/>
        </w:rPr>
      </w:pPr>
    </w:p>
    <w:p w:rsidR="00E03044" w:rsidRDefault="00E03044" w:rsidP="00E03044">
      <w:pPr>
        <w:rPr>
          <w:lang w:eastAsia="sv-SE"/>
        </w:rPr>
      </w:pPr>
    </w:p>
    <w:p w:rsidR="00E03044" w:rsidRDefault="00E03044" w:rsidP="00E03044">
      <w:pPr>
        <w:rPr>
          <w:lang w:eastAsia="sv-SE"/>
        </w:rPr>
      </w:pPr>
    </w:p>
    <w:p w:rsidR="00E03044" w:rsidRDefault="00E03044" w:rsidP="00E03044">
      <w:pPr>
        <w:rPr>
          <w:lang w:eastAsia="sv-SE"/>
        </w:rPr>
      </w:pPr>
    </w:p>
    <w:p w:rsidR="00E03044" w:rsidRDefault="00E03044" w:rsidP="00E03044">
      <w:pPr>
        <w:rPr>
          <w:lang w:eastAsia="sv-SE"/>
        </w:rPr>
      </w:pPr>
    </w:p>
    <w:p w:rsidR="00E03044" w:rsidRDefault="00E03044" w:rsidP="00E03044">
      <w:pPr>
        <w:rPr>
          <w:lang w:eastAsia="sv-SE"/>
        </w:rPr>
      </w:pPr>
    </w:p>
    <w:p w:rsidR="00E03044" w:rsidRDefault="00E03044" w:rsidP="00E03044">
      <w:pPr>
        <w:rPr>
          <w:lang w:eastAsia="sv-SE"/>
        </w:rPr>
      </w:pPr>
    </w:p>
    <w:p w:rsidR="00E03044" w:rsidRPr="004246C0" w:rsidRDefault="00E03044" w:rsidP="00E03044">
      <w:pPr>
        <w:pStyle w:val="Rubrik1"/>
        <w:tabs>
          <w:tab w:val="left" w:pos="0"/>
        </w:tabs>
        <w:spacing w:before="320" w:line="240" w:lineRule="auto"/>
        <w:ind w:left="283" w:hanging="567"/>
      </w:pPr>
      <w:bookmarkStart w:id="1" w:name="_Toc440543161"/>
      <w:bookmarkStart w:id="2" w:name="_Toc444440668"/>
      <w:bookmarkStart w:id="3" w:name="_Toc466294696"/>
      <w:r w:rsidRPr="004246C0">
        <w:lastRenderedPageBreak/>
        <w:t xml:space="preserve">Ersättningsunderlag </w:t>
      </w:r>
      <w:bookmarkEnd w:id="1"/>
      <w:r w:rsidRPr="004246C0">
        <w:t>från myndighet</w:t>
      </w:r>
      <w:bookmarkEnd w:id="2"/>
      <w:bookmarkEnd w:id="3"/>
      <w:r w:rsidRPr="004246C0">
        <w:t xml:space="preserve"> </w:t>
      </w:r>
    </w:p>
    <w:p w:rsidR="00E03044" w:rsidRDefault="00E03044" w:rsidP="00E03044">
      <w:r>
        <w:t xml:space="preserve">När </w:t>
      </w:r>
      <w:r w:rsidRPr="00237290">
        <w:t xml:space="preserve">myndigheten har granskat och godkänt den inrapporterade tiden </w:t>
      </w:r>
      <w:r>
        <w:t xml:space="preserve">skapas </w:t>
      </w:r>
      <w:r w:rsidRPr="00237290">
        <w:t xml:space="preserve">ett </w:t>
      </w:r>
      <w:r>
        <w:t>ersättningsu</w:t>
      </w:r>
      <w:r w:rsidRPr="00237290">
        <w:t>nderlag</w:t>
      </w:r>
      <w:r>
        <w:t xml:space="preserve"> av myndigheten</w:t>
      </w:r>
      <w:r w:rsidRPr="00237290">
        <w:t xml:space="preserve">. </w:t>
      </w:r>
      <w:r>
        <w:t>Ersättnings</w:t>
      </w:r>
      <w:r w:rsidRPr="00237290">
        <w:t>underlag</w:t>
      </w:r>
      <w:r>
        <w:t xml:space="preserve">et </w:t>
      </w:r>
      <w:r w:rsidRPr="00237290">
        <w:t xml:space="preserve">skickas från myndigheten till </w:t>
      </w:r>
      <w:r>
        <w:t>anordnaren</w:t>
      </w:r>
      <w:r w:rsidRPr="00237290">
        <w:t xml:space="preserve">. </w:t>
      </w:r>
      <w:r>
        <w:t>N</w:t>
      </w:r>
      <w:r w:rsidRPr="00237290">
        <w:t>edan visa</w:t>
      </w:r>
      <w:r>
        <w:t>s</w:t>
      </w:r>
      <w:r w:rsidRPr="00237290">
        <w:t xml:space="preserve"> v</w:t>
      </w:r>
      <w:r>
        <w:t xml:space="preserve">ar </w:t>
      </w:r>
      <w:r w:rsidRPr="00237290">
        <w:t>man kommer åt det</w:t>
      </w:r>
      <w:r>
        <w:t xml:space="preserve"> i Pulsen combine</w:t>
      </w:r>
      <w:r w:rsidRPr="00237290">
        <w:t xml:space="preserve">, </w:t>
      </w:r>
      <w:r>
        <w:t xml:space="preserve">där det heter fakturaunderlag, </w:t>
      </w:r>
      <w:r w:rsidRPr="00237290">
        <w:t xml:space="preserve">och vilka val </w:t>
      </w:r>
      <w:r>
        <w:t xml:space="preserve">man kan göra </w:t>
      </w:r>
      <w:r w:rsidRPr="00237290">
        <w:t>när man öppna</w:t>
      </w:r>
      <w:r>
        <w:t>r</w:t>
      </w:r>
      <w:r w:rsidRPr="00237290">
        <w:t xml:space="preserve"> det.</w:t>
      </w:r>
    </w:p>
    <w:p w:rsidR="00F44447" w:rsidRDefault="00F44447" w:rsidP="00E03044"/>
    <w:p w:rsidR="00E03044" w:rsidRPr="00A20227" w:rsidRDefault="00E03044" w:rsidP="00E03044">
      <w:pPr>
        <w:pStyle w:val="Rubrik2"/>
      </w:pPr>
      <w:bookmarkStart w:id="4" w:name="_Toc466294697"/>
      <w:proofErr w:type="spellStart"/>
      <w:r w:rsidRPr="00A20227">
        <w:t>Inkommet</w:t>
      </w:r>
      <w:proofErr w:type="spellEnd"/>
      <w:r w:rsidRPr="00A20227">
        <w:t xml:space="preserve"> fakturaunderlag</w:t>
      </w:r>
      <w:bookmarkEnd w:id="4"/>
    </w:p>
    <w:p w:rsidR="00E03044" w:rsidRDefault="00E03044" w:rsidP="00E03044">
      <w:r>
        <w:t>För att komma åt fakturaunderlag som är skickade från myndighetsvyn till utförarvyn går man till Arbetsöversikt -&gt; Återrapportering -&gt; Fakturaunderlag.</w:t>
      </w:r>
    </w:p>
    <w:p w:rsidR="00320EB9" w:rsidRDefault="0013583F" w:rsidP="00E03044">
      <w:r>
        <w:rPr>
          <w:noProof/>
          <w:lang w:eastAsia="sv-SE"/>
        </w:rPr>
        <w:drawing>
          <wp:inline distT="0" distB="0" distL="0" distR="0" wp14:anchorId="68A344C3" wp14:editId="4E51ADCA">
            <wp:extent cx="5760720" cy="11760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44" w:rsidRDefault="0013583F" w:rsidP="00E03044">
      <w:r>
        <w:t>H</w:t>
      </w:r>
      <w:r w:rsidR="00E03044">
        <w:t xml:space="preserve">är </w:t>
      </w:r>
      <w:r>
        <w:t xml:space="preserve">kan man </w:t>
      </w:r>
      <w:r w:rsidR="00E03044">
        <w:t>gör</w:t>
      </w:r>
      <w:r>
        <w:t>a</w:t>
      </w:r>
      <w:r w:rsidR="00E03044">
        <w:t xml:space="preserve"> urval på tidsperiod. Det går lika bra att söka utan att göra något </w:t>
      </w:r>
      <w:r w:rsidR="008440F3">
        <w:t xml:space="preserve">aktivt val, </w:t>
      </w:r>
      <w:r w:rsidR="00E03044">
        <w:t xml:space="preserve">då får man träff på alla fakturaunderlag oavsett tidsperiod som finns skickade till anordnaren. </w:t>
      </w:r>
    </w:p>
    <w:p w:rsidR="00E03044" w:rsidRDefault="00E03044" w:rsidP="00E03044">
      <w:r>
        <w:t>Klicka på ”Öppna” längst till höger på raden för önskad månad för att se detaljraderna i fa</w:t>
      </w:r>
      <w:r w:rsidR="008440F3">
        <w:t>kturaunderlaget (se bild ovan).</w:t>
      </w:r>
    </w:p>
    <w:p w:rsidR="00E03044" w:rsidRDefault="00E03044" w:rsidP="00E03044">
      <w:r>
        <w:t xml:space="preserve">I fältet för ”Status” står det ”Väntar på svar från utförare”. Det betyder inte att något fattas eller är fel. </w:t>
      </w:r>
    </w:p>
    <w:p w:rsidR="00F44447" w:rsidRDefault="00F44447">
      <w:r>
        <w:br w:type="page"/>
      </w:r>
    </w:p>
    <w:p w:rsidR="00E03044" w:rsidRDefault="00E03044" w:rsidP="00E03044">
      <w:pPr>
        <w:pStyle w:val="Rubrik2"/>
        <w:spacing w:before="280" w:after="120" w:line="240" w:lineRule="auto"/>
        <w:ind w:left="576" w:hanging="576"/>
        <w:rPr>
          <w:szCs w:val="28"/>
        </w:rPr>
      </w:pPr>
      <w:bookmarkStart w:id="5" w:name="_Toc466294698"/>
      <w:r>
        <w:lastRenderedPageBreak/>
        <w:t>Detaljrader i fakturaunderlaget</w:t>
      </w:r>
      <w:bookmarkEnd w:id="5"/>
    </w:p>
    <w:p w:rsidR="00E03044" w:rsidRDefault="00E03044" w:rsidP="00E03044">
      <w:r>
        <w:t>När man öppnar ett faktur</w:t>
      </w:r>
      <w:r w:rsidR="00F44447">
        <w:t>aunderlag möts man av denna vy. I</w:t>
      </w:r>
      <w:r>
        <w:t xml:space="preserve"> detta exempel </w:t>
      </w:r>
      <w:r w:rsidR="00F44447">
        <w:t xml:space="preserve">presenteras </w:t>
      </w:r>
      <w:r>
        <w:t xml:space="preserve">ersättningstyp, antal, ersättning och belopp. </w:t>
      </w:r>
    </w:p>
    <w:p w:rsidR="00E03044" w:rsidRDefault="00F44447" w:rsidP="00E03044">
      <w:r>
        <w:rPr>
          <w:noProof/>
          <w:lang w:eastAsia="sv-SE"/>
        </w:rPr>
        <w:drawing>
          <wp:inline distT="0" distB="0" distL="0" distR="0" wp14:anchorId="3E4EDF2C" wp14:editId="2FDDFB8A">
            <wp:extent cx="5760720" cy="4585970"/>
            <wp:effectExtent l="0" t="0" r="0" b="508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447" w:rsidRDefault="00E03044" w:rsidP="00F44447">
      <w:r>
        <w:t xml:space="preserve">Anordnaren ska </w:t>
      </w:r>
      <w:r w:rsidR="00F44447">
        <w:t xml:space="preserve">nu </w:t>
      </w:r>
      <w:r>
        <w:t>öppna rapporten genom att klicka på ”</w:t>
      </w:r>
      <w:r w:rsidR="00F44447">
        <w:t>V</w:t>
      </w:r>
      <w:r>
        <w:t xml:space="preserve">isa rapport”. Sidan ett i rapporten heter </w:t>
      </w:r>
      <w:r w:rsidR="00F44447">
        <w:t>”Ersättningsunderlag”</w:t>
      </w:r>
      <w:r>
        <w:t xml:space="preserve"> och utgör själva fakturaunderlaget. Det är denna sida som ska bifogas samlingsfakturan som anordnaren skickar till kommunen. </w:t>
      </w:r>
      <w:r w:rsidR="00F44447">
        <w:t xml:space="preserve">Anordnaren ska </w:t>
      </w:r>
      <w:r w:rsidR="00F44447" w:rsidRPr="00A73385">
        <w:rPr>
          <w:bCs/>
        </w:rPr>
        <w:t>inte</w:t>
      </w:r>
      <w:r w:rsidR="00F44447">
        <w:rPr>
          <w:b/>
          <w:bCs/>
        </w:rPr>
        <w:t xml:space="preserve"> </w:t>
      </w:r>
      <w:r w:rsidR="00F44447">
        <w:t xml:space="preserve">godkänna fakturaunderlag eller avslå fakturaunderlag i vyn. </w:t>
      </w:r>
      <w:r w:rsidR="006568B7">
        <w:t>Det är också viktigt att</w:t>
      </w:r>
      <w:r w:rsidR="00EF6466">
        <w:t xml:space="preserve"> kontrollera att perioden stämmer överens med faktureringsmånad.</w:t>
      </w:r>
    </w:p>
    <w:p w:rsidR="00E03044" w:rsidRDefault="00E03044" w:rsidP="00E03044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C1B0E13" wp14:editId="04F79558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5760720" cy="198755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ärmdump ersättninsunderl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03044" w:rsidRDefault="00E03044" w:rsidP="00E03044"/>
    <w:p w:rsidR="00E03044" w:rsidRDefault="00E03044" w:rsidP="00E03044">
      <w:r>
        <w:t>Fakturaadress dit samlingsfakturan (sidan ett av rapporten ”Ersättningsunderlag”) ska skickas:</w:t>
      </w:r>
    </w:p>
    <w:p w:rsidR="00E03044" w:rsidRDefault="00E03044" w:rsidP="00E03044"/>
    <w:p w:rsidR="00E03044" w:rsidRDefault="00E03044" w:rsidP="00E03044">
      <w:r>
        <w:t>Nacka kommun</w:t>
      </w:r>
      <w:r w:rsidR="00EF6466">
        <w:br/>
      </w:r>
      <w:r>
        <w:t>Ansvar 16</w:t>
      </w:r>
      <w:r w:rsidR="00EF6466">
        <w:t> </w:t>
      </w:r>
      <w:r>
        <w:t>500</w:t>
      </w:r>
      <w:r w:rsidR="00EF6466">
        <w:br/>
        <w:t>Box</w:t>
      </w:r>
      <w:r>
        <w:t xml:space="preserve"> 505 46</w:t>
      </w:r>
      <w:r w:rsidR="00EF6466">
        <w:br/>
      </w:r>
      <w:r>
        <w:t>202 50 Malmö</w:t>
      </w:r>
    </w:p>
    <w:p w:rsidR="00E03044" w:rsidRDefault="00E03044" w:rsidP="00E03044">
      <w:r>
        <w:t>Eventuella frågor kring ersättningsunderlagen kan ställas till:</w:t>
      </w:r>
    </w:p>
    <w:p w:rsidR="00E03044" w:rsidRDefault="00E03044" w:rsidP="00E03044">
      <w:r>
        <w:t xml:space="preserve">Yvonne Schultze, telefon 08 718 9810, </w:t>
      </w:r>
      <w:hyperlink r:id="rId11" w:history="1">
        <w:r w:rsidR="00EF6466" w:rsidRPr="003475A6">
          <w:rPr>
            <w:rStyle w:val="Hyperlnk"/>
          </w:rPr>
          <w:t>yvonne.schultze@nacka.se</w:t>
        </w:r>
      </w:hyperlink>
    </w:p>
    <w:p w:rsidR="00E03044" w:rsidRDefault="00E03044" w:rsidP="00E03044">
      <w:r>
        <w:t xml:space="preserve">Om man vill jämföra tiderna i Pulsen combine med tiderna i </w:t>
      </w:r>
      <w:proofErr w:type="spellStart"/>
      <w:r>
        <w:t>Phoniro</w:t>
      </w:r>
      <w:proofErr w:type="spellEnd"/>
      <w:r>
        <w:t xml:space="preserve"> Care kan man titta på rapporten ”Utförda/avböjda besök” i </w:t>
      </w:r>
      <w:proofErr w:type="spellStart"/>
      <w:r>
        <w:t>Phoniro</w:t>
      </w:r>
      <w:proofErr w:type="spellEnd"/>
      <w:r w:rsidR="00EF6466">
        <w:t xml:space="preserve"> Care</w:t>
      </w:r>
      <w:r>
        <w:t>.</w:t>
      </w:r>
    </w:p>
    <w:p w:rsidR="00EF6466" w:rsidRDefault="00EF6466" w:rsidP="00E03044"/>
    <w:p w:rsidR="00EF6466" w:rsidRDefault="00EF6466" w:rsidP="00E03044"/>
    <w:p w:rsidR="00E03044" w:rsidRPr="00E03044" w:rsidRDefault="00E03044" w:rsidP="00E03044">
      <w:pPr>
        <w:rPr>
          <w:lang w:eastAsia="sv-SE"/>
        </w:rPr>
      </w:pPr>
    </w:p>
    <w:p w:rsidR="00702023" w:rsidRDefault="00702023"/>
    <w:sectPr w:rsidR="0070202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DE" w:rsidRDefault="001366DE" w:rsidP="001366DE">
      <w:pPr>
        <w:spacing w:after="0" w:line="240" w:lineRule="auto"/>
      </w:pPr>
      <w:r>
        <w:separator/>
      </w:r>
    </w:p>
  </w:endnote>
  <w:endnote w:type="continuationSeparator" w:id="0">
    <w:p w:rsidR="001366DE" w:rsidRDefault="001366DE" w:rsidP="0013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DE" w:rsidRDefault="001366DE">
    <w:pPr>
      <w:pStyle w:val="Sidfot"/>
    </w:pPr>
    <w:r>
      <w:t>2016-11-08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DE" w:rsidRDefault="001366DE" w:rsidP="001366DE">
      <w:pPr>
        <w:spacing w:after="0" w:line="240" w:lineRule="auto"/>
      </w:pPr>
      <w:r>
        <w:separator/>
      </w:r>
    </w:p>
  </w:footnote>
  <w:footnote w:type="continuationSeparator" w:id="0">
    <w:p w:rsidR="001366DE" w:rsidRDefault="001366DE" w:rsidP="0013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7FF"/>
    <w:multiLevelType w:val="multilevel"/>
    <w:tmpl w:val="4490D1C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44"/>
    <w:rsid w:val="0013583F"/>
    <w:rsid w:val="001366DE"/>
    <w:rsid w:val="00320EB9"/>
    <w:rsid w:val="006568B7"/>
    <w:rsid w:val="00702023"/>
    <w:rsid w:val="008440F3"/>
    <w:rsid w:val="00C17604"/>
    <w:rsid w:val="00E03044"/>
    <w:rsid w:val="00E81A69"/>
    <w:rsid w:val="00EF6466"/>
    <w:rsid w:val="00F4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54FD-12A9-4655-AEEC-2CD349D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E03044"/>
    <w:pPr>
      <w:keepNext/>
      <w:numPr>
        <w:numId w:val="1"/>
      </w:numPr>
      <w:spacing w:before="360" w:after="120" w:line="360" w:lineRule="atLeast"/>
      <w:ind w:left="1304" w:hanging="1304"/>
      <w:outlineLvl w:val="0"/>
    </w:pPr>
    <w:rPr>
      <w:rFonts w:ascii="Gill Sans MT" w:eastAsia="Times New Roman" w:hAnsi="Gill Sans MT" w:cs="Times New Roman"/>
      <w:b/>
      <w:sz w:val="32"/>
      <w:szCs w:val="2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E03044"/>
    <w:pPr>
      <w:keepNext/>
      <w:numPr>
        <w:ilvl w:val="1"/>
        <w:numId w:val="1"/>
      </w:numPr>
      <w:spacing w:before="240" w:after="60" w:line="320" w:lineRule="atLeast"/>
      <w:ind w:left="1304" w:hanging="1304"/>
      <w:outlineLvl w:val="1"/>
    </w:pPr>
    <w:rPr>
      <w:rFonts w:ascii="Gill Sans MT" w:eastAsia="Times New Roman" w:hAnsi="Gill Sans MT" w:cs="Times New Roman"/>
      <w:b/>
      <w:sz w:val="28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E03044"/>
    <w:pPr>
      <w:keepNext/>
      <w:numPr>
        <w:ilvl w:val="2"/>
        <w:numId w:val="1"/>
      </w:numPr>
      <w:spacing w:before="120" w:after="60" w:line="280" w:lineRule="atLeast"/>
      <w:ind w:left="1304" w:hanging="1304"/>
      <w:outlineLvl w:val="2"/>
    </w:pPr>
    <w:rPr>
      <w:rFonts w:ascii="Gill Sans MT" w:eastAsia="Times New Roman" w:hAnsi="Gill Sans MT" w:cs="Times New Roman"/>
      <w:b/>
      <w:sz w:val="24"/>
      <w:szCs w:val="20"/>
      <w:lang w:eastAsia="sv-SE"/>
    </w:rPr>
  </w:style>
  <w:style w:type="paragraph" w:styleId="Rubrik4">
    <w:name w:val="heading 4"/>
    <w:basedOn w:val="Rubrik3"/>
    <w:next w:val="Normal"/>
    <w:link w:val="Rubrik4Char"/>
    <w:qFormat/>
    <w:rsid w:val="00E03044"/>
    <w:pPr>
      <w:numPr>
        <w:ilvl w:val="3"/>
      </w:numPr>
      <w:ind w:left="1304" w:hanging="1304"/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E03044"/>
    <w:pPr>
      <w:keepNext/>
      <w:keepLines/>
      <w:numPr>
        <w:ilvl w:val="4"/>
        <w:numId w:val="1"/>
      </w:numPr>
      <w:spacing w:before="200" w:after="0" w:line="300" w:lineRule="atLeast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sv-SE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E03044"/>
    <w:pPr>
      <w:keepNext/>
      <w:keepLines/>
      <w:numPr>
        <w:ilvl w:val="5"/>
        <w:numId w:val="1"/>
      </w:numPr>
      <w:spacing w:before="200" w:after="0" w:line="300" w:lineRule="atLeas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E03044"/>
    <w:pPr>
      <w:keepNext/>
      <w:keepLines/>
      <w:numPr>
        <w:ilvl w:val="6"/>
        <w:numId w:val="1"/>
      </w:numPr>
      <w:spacing w:before="200" w:after="0" w:line="30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sv-SE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E03044"/>
    <w:pPr>
      <w:keepNext/>
      <w:keepLines/>
      <w:numPr>
        <w:ilvl w:val="7"/>
        <w:numId w:val="1"/>
      </w:numPr>
      <w:spacing w:before="200" w:after="0" w:line="30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03044"/>
    <w:pPr>
      <w:keepNext/>
      <w:keepLines/>
      <w:numPr>
        <w:ilvl w:val="8"/>
        <w:numId w:val="1"/>
      </w:numPr>
      <w:spacing w:before="200" w:after="0" w:line="30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">
    <w:name w:val="Titel"/>
    <w:basedOn w:val="Normal"/>
    <w:rsid w:val="00E03044"/>
    <w:pPr>
      <w:spacing w:after="240" w:line="360" w:lineRule="atLeast"/>
    </w:pPr>
    <w:rPr>
      <w:rFonts w:ascii="Gill Sans MT" w:eastAsia="Times New Roman" w:hAnsi="Gill Sans MT" w:cs="Times New Roman"/>
      <w:caps/>
      <w:sz w:val="58"/>
      <w:szCs w:val="58"/>
      <w:lang w:eastAsia="sv-SE"/>
    </w:rPr>
  </w:style>
  <w:style w:type="paragraph" w:customStyle="1" w:styleId="Titel2">
    <w:name w:val="Titel 2"/>
    <w:basedOn w:val="Normal"/>
    <w:next w:val="Normal"/>
    <w:rsid w:val="00E03044"/>
    <w:pPr>
      <w:pBdr>
        <w:top w:val="single" w:sz="6" w:space="12" w:color="auto"/>
      </w:pBdr>
      <w:spacing w:before="240" w:after="0" w:line="300" w:lineRule="atLeast"/>
    </w:pPr>
    <w:rPr>
      <w:rFonts w:ascii="Gill Sans MT" w:eastAsia="Times New Roman" w:hAnsi="Gill Sans MT" w:cs="Times New Roman"/>
      <w:b/>
      <w:sz w:val="58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rsid w:val="00E03044"/>
    <w:rPr>
      <w:rFonts w:ascii="Gill Sans MT" w:eastAsia="Times New Roman" w:hAnsi="Gill Sans MT" w:cs="Times New Roman"/>
      <w:b/>
      <w:sz w:val="32"/>
      <w:szCs w:val="26"/>
      <w:lang w:eastAsia="sv-SE"/>
    </w:rPr>
  </w:style>
  <w:style w:type="character" w:customStyle="1" w:styleId="Rubrik2Char">
    <w:name w:val="Rubrik 2 Char"/>
    <w:basedOn w:val="Standardstycketeckensnitt"/>
    <w:link w:val="Rubrik2"/>
    <w:rsid w:val="00E03044"/>
    <w:rPr>
      <w:rFonts w:ascii="Gill Sans MT" w:eastAsia="Times New Roman" w:hAnsi="Gill Sans MT" w:cs="Times New Roman"/>
      <w:b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E03044"/>
    <w:rPr>
      <w:rFonts w:ascii="Gill Sans MT" w:eastAsia="Times New Roman" w:hAnsi="Gill Sans MT" w:cs="Times New Roman"/>
      <w:b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E03044"/>
    <w:rPr>
      <w:rFonts w:ascii="Garamond" w:eastAsia="Times New Roman" w:hAnsi="Garamond" w:cs="Times New Roman"/>
      <w:b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E03044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E0304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E030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E0304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E030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EF646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3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66DE"/>
  </w:style>
  <w:style w:type="paragraph" w:styleId="Sidfot">
    <w:name w:val="footer"/>
    <w:basedOn w:val="Normal"/>
    <w:link w:val="SidfotChar"/>
    <w:uiPriority w:val="99"/>
    <w:unhideWhenUsed/>
    <w:rsid w:val="0013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vonne.schultze@nacka.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Jansdotter Sandra</dc:creator>
  <cp:keywords/>
  <dc:description/>
  <cp:lastModifiedBy>Jansson Eva-Marie</cp:lastModifiedBy>
  <cp:revision>2</cp:revision>
  <dcterms:created xsi:type="dcterms:W3CDTF">2018-01-29T08:53:00Z</dcterms:created>
  <dcterms:modified xsi:type="dcterms:W3CDTF">2018-01-29T08:53:00Z</dcterms:modified>
</cp:coreProperties>
</file>